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2DAE1" w14:textId="5C0393D4" w:rsidR="007412AC" w:rsidRPr="007604F2" w:rsidRDefault="007412AC" w:rsidP="007412AC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bookmarkEnd w:id="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445DD7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90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C844BE">
        <w:rPr>
          <w:rFonts w:ascii="Arial" w:hAnsi="Arial" w:cs="Arial"/>
          <w:b/>
          <w:bCs/>
          <w:noProof/>
          <w:sz w:val="24"/>
          <w:szCs w:val="24"/>
        </w:rPr>
        <w:t xml:space="preserve">       </w:t>
      </w:r>
      <w:r w:rsidRPr="00C844BE">
        <w:rPr>
          <w:rFonts w:ascii="Arial" w:hAnsi="Arial" w:cs="Arial"/>
          <w:b/>
          <w:bCs/>
          <w:noProof/>
          <w:sz w:val="24"/>
          <w:szCs w:val="24"/>
        </w:rPr>
        <w:tab/>
      </w:r>
      <w:r w:rsidRPr="007604F2">
        <w:rPr>
          <w:rFonts w:ascii="Arial" w:hAnsi="Arial" w:cs="Arial"/>
          <w:b/>
          <w:bCs/>
          <w:noProof/>
          <w:sz w:val="24"/>
          <w:szCs w:val="24"/>
        </w:rPr>
        <w:t>R1</w:t>
      </w:r>
      <w:r w:rsidRPr="00404E14">
        <w:rPr>
          <w:rFonts w:ascii="Arial" w:hAnsi="Arial" w:cs="Arial"/>
          <w:b/>
          <w:bCs/>
          <w:noProof/>
          <w:sz w:val="24"/>
          <w:szCs w:val="24"/>
        </w:rPr>
        <w:t>-</w:t>
      </w:r>
      <w:r w:rsidR="00445DD7" w:rsidRPr="00404E14">
        <w:rPr>
          <w:rFonts w:ascii="Arial" w:hAnsi="Arial" w:cs="Arial"/>
          <w:b/>
          <w:bCs/>
          <w:noProof/>
          <w:sz w:val="24"/>
          <w:szCs w:val="24"/>
        </w:rPr>
        <w:t>17</w:t>
      </w:r>
      <w:r w:rsidR="009C3858" w:rsidRPr="00404E14">
        <w:rPr>
          <w:rFonts w:ascii="Arial" w:hAnsi="Arial" w:cs="Arial"/>
          <w:b/>
          <w:bCs/>
          <w:noProof/>
          <w:sz w:val="24"/>
          <w:szCs w:val="24"/>
        </w:rPr>
        <w:t>12659</w:t>
      </w:r>
    </w:p>
    <w:p w14:paraId="2E63B51E" w14:textId="26F6C31F" w:rsidR="007412AC" w:rsidRPr="007604F2" w:rsidRDefault="00445DD7" w:rsidP="007412AC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Prague, Czech Republic</w:t>
      </w:r>
      <w:r w:rsidR="007412AC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7412AC">
        <w:rPr>
          <w:rFonts w:ascii="Arial" w:hAnsi="Arial" w:cs="Arial"/>
          <w:b/>
          <w:bCs/>
          <w:noProof/>
          <w:sz w:val="24"/>
          <w:szCs w:val="24"/>
        </w:rPr>
        <w:t>1</w:t>
      </w:r>
      <w:r w:rsidR="007412AC" w:rsidRPr="00941D99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25</w:t>
      </w:r>
      <w:r w:rsidR="007412AC"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7412AC" w:rsidRPr="00941D99">
        <w:rPr>
          <w:rFonts w:ascii="Arial" w:hAnsi="Arial" w:cs="Arial"/>
          <w:b/>
          <w:bCs/>
          <w:noProof/>
          <w:sz w:val="24"/>
          <w:szCs w:val="24"/>
        </w:rPr>
        <w:t>2017</w:t>
      </w:r>
    </w:p>
    <w:p w14:paraId="52CC0AE0" w14:textId="449AE2D8" w:rsidR="007604F2" w:rsidRDefault="007412AC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  <w:r w:rsidRPr="007604F2" w:rsidDel="007412AC">
        <w:rPr>
          <w:rFonts w:cs="Arial"/>
          <w:bCs/>
          <w:noProof/>
          <w:sz w:val="24"/>
          <w:szCs w:val="24"/>
        </w:rPr>
        <w:t xml:space="preserve"> </w:t>
      </w: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63A847F0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3" w:name="Title"/>
      <w:bookmarkEnd w:id="3"/>
      <w:r w:rsidRPr="001E25A7">
        <w:rPr>
          <w:sz w:val="22"/>
          <w:szCs w:val="22"/>
          <w:lang w:val="en-US"/>
        </w:rPr>
        <w:tab/>
      </w:r>
      <w:r w:rsidR="00445DD7">
        <w:rPr>
          <w:sz w:val="22"/>
          <w:szCs w:val="22"/>
          <w:lang w:val="en-US"/>
        </w:rPr>
        <w:t>E</w:t>
      </w:r>
      <w:r w:rsidR="007834C2">
        <w:rPr>
          <w:sz w:val="22"/>
          <w:szCs w:val="22"/>
          <w:lang w:val="en-US"/>
        </w:rPr>
        <w:t xml:space="preserve">valuation results </w:t>
      </w:r>
      <w:r w:rsidR="00503BE7">
        <w:rPr>
          <w:sz w:val="22"/>
          <w:szCs w:val="22"/>
          <w:lang w:val="en-US"/>
        </w:rPr>
        <w:t>on sTTI for PC5</w:t>
      </w:r>
    </w:p>
    <w:p w14:paraId="35A90F35" w14:textId="6B9B5DC1" w:rsidR="00005DBD" w:rsidRPr="00915DBA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915DBA">
        <w:rPr>
          <w:sz w:val="22"/>
          <w:szCs w:val="22"/>
          <w:lang w:val="en-US"/>
        </w:rPr>
        <w:t>Agenda Item:</w:t>
      </w:r>
      <w:r w:rsidRPr="00915DBA">
        <w:rPr>
          <w:sz w:val="22"/>
          <w:szCs w:val="22"/>
          <w:lang w:val="en-US"/>
        </w:rPr>
        <w:tab/>
      </w:r>
      <w:r w:rsidR="00445DD7">
        <w:rPr>
          <w:sz w:val="22"/>
          <w:szCs w:val="22"/>
          <w:lang w:val="en-US"/>
        </w:rPr>
        <w:t>5.2.3.4.2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4470F954" w14:textId="4FB5B3FD" w:rsidR="001744C2" w:rsidRDefault="001744C2" w:rsidP="001744C2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approved a work item </w:t>
      </w:r>
      <w:r w:rsidR="00461714">
        <w:rPr>
          <w:sz w:val="20"/>
          <w:szCs w:val="20"/>
        </w:rPr>
        <w:fldChar w:fldCharType="begin"/>
      </w:r>
      <w:r w:rsidR="00461714">
        <w:rPr>
          <w:sz w:val="20"/>
          <w:szCs w:val="20"/>
        </w:rPr>
        <w:instrText xml:space="preserve"> REF _Ref481590073 \r \h </w:instrText>
      </w:r>
      <w:r w:rsidR="00461714">
        <w:rPr>
          <w:sz w:val="20"/>
          <w:szCs w:val="20"/>
        </w:rPr>
      </w:r>
      <w:r w:rsidR="00461714">
        <w:rPr>
          <w:sz w:val="20"/>
          <w:szCs w:val="20"/>
        </w:rPr>
        <w:fldChar w:fldCharType="separate"/>
      </w:r>
      <w:r w:rsidR="00F63F97">
        <w:rPr>
          <w:sz w:val="20"/>
          <w:szCs w:val="20"/>
        </w:rPr>
        <w:t>[1]</w:t>
      </w:r>
      <w:r w:rsidR="00461714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for </w:t>
      </w:r>
      <w:r w:rsidRPr="00941D99">
        <w:rPr>
          <w:rFonts w:hint="eastAsia"/>
          <w:sz w:val="20"/>
          <w:szCs w:val="20"/>
        </w:rPr>
        <w:t>3GPP</w:t>
      </w:r>
      <w:r w:rsidRPr="00941D99">
        <w:rPr>
          <w:sz w:val="20"/>
          <w:szCs w:val="20"/>
        </w:rPr>
        <w:t xml:space="preserve"> V2X Phase 2 to support advanced V2X services</w:t>
      </w:r>
      <w:r w:rsidRPr="00941D99">
        <w:rPr>
          <w:rFonts w:hint="eastAsia"/>
          <w:sz w:val="20"/>
          <w:szCs w:val="20"/>
        </w:rPr>
        <w:t xml:space="preserve"> as identified in SA1 TR 22.886.</w:t>
      </w:r>
      <w:r>
        <w:rPr>
          <w:sz w:val="20"/>
          <w:szCs w:val="20"/>
        </w:rPr>
        <w:t xml:space="preserve"> The following topics are part of the </w:t>
      </w:r>
      <w:r w:rsidRPr="00941D99">
        <w:rPr>
          <w:sz w:val="20"/>
          <w:szCs w:val="20"/>
        </w:rPr>
        <w:t xml:space="preserve">detailed objectives </w:t>
      </w:r>
      <w:r w:rsidRPr="00941D99">
        <w:rPr>
          <w:rFonts w:hint="eastAsia"/>
          <w:sz w:val="20"/>
          <w:szCs w:val="20"/>
        </w:rPr>
        <w:t>of this work item</w:t>
      </w:r>
      <w:r w:rsidRPr="00941D99">
        <w:rPr>
          <w:sz w:val="20"/>
          <w:szCs w:val="20"/>
        </w:rPr>
        <w:t>:</w:t>
      </w:r>
    </w:p>
    <w:p w14:paraId="3D19D373" w14:textId="77777777" w:rsidR="001744C2" w:rsidRPr="00621664" w:rsidRDefault="001744C2" w:rsidP="001744C2">
      <w:pPr>
        <w:pStyle w:val="BodyText"/>
        <w:spacing w:after="240"/>
        <w:ind w:left="284"/>
        <w:jc w:val="both"/>
        <w:rPr>
          <w:sz w:val="20"/>
          <w:szCs w:val="20"/>
        </w:rPr>
      </w:pPr>
      <w:r w:rsidRPr="00621664">
        <w:rPr>
          <w:sz w:val="20"/>
          <w:szCs w:val="20"/>
        </w:rPr>
        <w:t xml:space="preserve">Study the feasibility and gain of PC5 operation with Short TTI, assuming this PC5 functionality would co-exist in the same resource pools as Rel-14 functionality with and without using the same scheduling assignment format, and provide RAN1 observations and recommendations to RAN by RAN#77. [RAN1, RAN2] </w:t>
      </w:r>
    </w:p>
    <w:p w14:paraId="22D1A4A4" w14:textId="77777777" w:rsidR="001744C2" w:rsidRPr="00621664" w:rsidRDefault="001744C2" w:rsidP="001744C2">
      <w:pPr>
        <w:pStyle w:val="BodyText"/>
        <w:spacing w:after="240"/>
        <w:ind w:left="568"/>
        <w:jc w:val="both"/>
        <w:rPr>
          <w:sz w:val="20"/>
          <w:szCs w:val="20"/>
        </w:rPr>
      </w:pPr>
      <w:r w:rsidRPr="00621664">
        <w:rPr>
          <w:sz w:val="20"/>
          <w:szCs w:val="20"/>
        </w:rPr>
        <w:t>a)</w:t>
      </w:r>
      <w:r w:rsidRPr="00621664">
        <w:rPr>
          <w:sz w:val="20"/>
          <w:szCs w:val="20"/>
        </w:rPr>
        <w:tab/>
        <w:t>A following decision for normative work is up to consensus at RAN.</w:t>
      </w:r>
    </w:p>
    <w:p w14:paraId="25C26A8C" w14:textId="50FD6FA6" w:rsidR="003F105B" w:rsidRDefault="003F105B" w:rsidP="00DF3FAA">
      <w:pPr>
        <w:pStyle w:val="BodyText"/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our contribution </w:t>
      </w:r>
      <w:r w:rsidR="000F7355">
        <w:rPr>
          <w:sz w:val="20"/>
          <w:szCs w:val="20"/>
        </w:rPr>
        <w:t xml:space="preserve">in </w:t>
      </w:r>
      <w:r w:rsidR="000F7355">
        <w:rPr>
          <w:sz w:val="20"/>
          <w:szCs w:val="20"/>
        </w:rPr>
        <w:fldChar w:fldCharType="begin"/>
      </w:r>
      <w:r w:rsidR="000F7355">
        <w:rPr>
          <w:sz w:val="20"/>
          <w:szCs w:val="20"/>
        </w:rPr>
        <w:instrText xml:space="preserve"> REF _Ref481590324 \r \h </w:instrText>
      </w:r>
      <w:r w:rsidR="000F7355">
        <w:rPr>
          <w:sz w:val="20"/>
          <w:szCs w:val="20"/>
        </w:rPr>
      </w:r>
      <w:r w:rsidR="000F7355">
        <w:rPr>
          <w:sz w:val="20"/>
          <w:szCs w:val="20"/>
        </w:rPr>
        <w:fldChar w:fldCharType="separate"/>
      </w:r>
      <w:r w:rsidR="00F63F97">
        <w:rPr>
          <w:sz w:val="20"/>
          <w:szCs w:val="20"/>
        </w:rPr>
        <w:t>[4]</w:t>
      </w:r>
      <w:r w:rsidR="000F7355">
        <w:rPr>
          <w:sz w:val="20"/>
          <w:szCs w:val="20"/>
        </w:rPr>
        <w:fldChar w:fldCharType="end"/>
      </w:r>
      <w:r w:rsidR="000F7355">
        <w:rPr>
          <w:sz w:val="20"/>
          <w:szCs w:val="20"/>
        </w:rPr>
        <w:t>, we introduce our sTTI concept for PC5. In this contribution, we present initial evaluation results.</w:t>
      </w:r>
    </w:p>
    <w:p w14:paraId="7466D6BE" w14:textId="118371F0" w:rsidR="004A307B" w:rsidRDefault="000F7355" w:rsidP="001C33A7">
      <w:pPr>
        <w:pStyle w:val="Heading1"/>
      </w:pPr>
      <w:r>
        <w:t>Assumptions</w:t>
      </w:r>
    </w:p>
    <w:p w14:paraId="7AB6BC75" w14:textId="5615C73A" w:rsidR="00B178D9" w:rsidRPr="00B178D9" w:rsidRDefault="00B178D9" w:rsidP="00B178D9">
      <w:r>
        <w:t xml:space="preserve">The results presented in this contribution use the simulation assumptions agreed during RAN1#88bis </w:t>
      </w:r>
      <w:r>
        <w:fldChar w:fldCharType="begin"/>
      </w:r>
      <w:r>
        <w:instrText xml:space="preserve"> REF _Ref481590079 \r \h </w:instrText>
      </w:r>
      <w:r>
        <w:fldChar w:fldCharType="separate"/>
      </w:r>
      <w:r w:rsidR="00F63F97">
        <w:t>[2]</w:t>
      </w:r>
      <w:r>
        <w:fldChar w:fldCharType="end"/>
      </w:r>
      <w:r w:rsidR="00445DD7">
        <w:t xml:space="preserve"> and RAN1#89 </w:t>
      </w:r>
      <w:r w:rsidR="00445DD7">
        <w:fldChar w:fldCharType="begin"/>
      </w:r>
      <w:r w:rsidR="00445DD7">
        <w:instrText xml:space="preserve"> REF _Ref489531055 \r \h </w:instrText>
      </w:r>
      <w:r w:rsidR="00445DD7">
        <w:fldChar w:fldCharType="separate"/>
      </w:r>
      <w:r w:rsidR="00F63F97">
        <w:t>[3]</w:t>
      </w:r>
      <w:r w:rsidR="00445DD7">
        <w:fldChar w:fldCharType="end"/>
      </w:r>
      <w:r>
        <w:t>. In addition,</w:t>
      </w:r>
      <w:r w:rsidR="00C50FB2">
        <w:t xml:space="preserve"> we have also considered the parameters in </w:t>
      </w:r>
      <w:r w:rsidR="00C50FB2">
        <w:fldChar w:fldCharType="begin"/>
      </w:r>
      <w:r w:rsidR="00C50FB2">
        <w:instrText xml:space="preserve"> REF _Ref481592742 \h </w:instrText>
      </w:r>
      <w:r w:rsidR="00C50FB2">
        <w:fldChar w:fldCharType="separate"/>
      </w:r>
      <w:r w:rsidR="00F63F97">
        <w:t xml:space="preserve">Table </w:t>
      </w:r>
      <w:r w:rsidR="00F63F97">
        <w:rPr>
          <w:noProof/>
        </w:rPr>
        <w:t>1</w:t>
      </w:r>
      <w:r w:rsidR="00C50FB2">
        <w:fldChar w:fldCharType="end"/>
      </w:r>
      <w:r w:rsidR="00C50FB2">
        <w:t>.</w:t>
      </w:r>
      <w:r>
        <w:t xml:space="preserve"> </w:t>
      </w:r>
    </w:p>
    <w:p w14:paraId="38D1D965" w14:textId="70E4D1B1" w:rsidR="00C50FB2" w:rsidRDefault="00C50FB2" w:rsidP="00CA2BF5">
      <w:pPr>
        <w:pStyle w:val="Caption"/>
        <w:keepNext/>
        <w:jc w:val="center"/>
      </w:pPr>
      <w:bookmarkStart w:id="4" w:name="_Ref4815927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3F97">
        <w:rPr>
          <w:noProof/>
        </w:rPr>
        <w:t>1</w:t>
      </w:r>
      <w:r>
        <w:fldChar w:fldCharType="end"/>
      </w:r>
      <w:bookmarkEnd w:id="4"/>
      <w:r>
        <w:t>. Additional simulation assumptions.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07"/>
        <w:gridCol w:w="7236"/>
      </w:tblGrid>
      <w:tr w:rsidR="001F089B" w:rsidRPr="00B3051A" w14:paraId="474B6F31" w14:textId="77777777" w:rsidTr="00CA2BF5">
        <w:trPr>
          <w:trHeight w:val="366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F1C0F8F" w14:textId="77777777" w:rsidR="001F089B" w:rsidRPr="00B3051A" w:rsidRDefault="001F089B" w:rsidP="00CA2BF5">
            <w:pPr>
              <w:jc w:val="center"/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b/>
                <w:bCs/>
                <w:iCs/>
                <w:lang w:eastAsia="ja-JP"/>
              </w:rPr>
              <w:t>Parameter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28DDC5A" w14:textId="77777777" w:rsidR="001F089B" w:rsidRPr="00B3051A" w:rsidRDefault="001F089B" w:rsidP="00CA2BF5">
            <w:pPr>
              <w:jc w:val="center"/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b/>
                <w:bCs/>
                <w:iCs/>
                <w:lang w:eastAsia="ja-JP"/>
              </w:rPr>
              <w:t>Value</w:t>
            </w:r>
          </w:p>
        </w:tc>
      </w:tr>
      <w:tr w:rsidR="00663EB9" w:rsidRPr="00A8608B" w14:paraId="7D744109" w14:textId="77777777" w:rsidTr="00CA2BF5">
        <w:trPr>
          <w:trHeight w:val="677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42D01468" w14:textId="77777777" w:rsidR="00663EB9" w:rsidRPr="009C08F7" w:rsidRDefault="00663EB9">
            <w:pPr>
              <w:rPr>
                <w:iCs/>
                <w:lang w:eastAsia="zh-CN"/>
              </w:rPr>
            </w:pPr>
            <w:r w:rsidRPr="00B3051A">
              <w:rPr>
                <w:rFonts w:eastAsia="MS Mincho"/>
                <w:iCs/>
                <w:lang w:eastAsia="ja-JP"/>
              </w:rPr>
              <w:t xml:space="preserve">Resource </w:t>
            </w:r>
            <w:r>
              <w:rPr>
                <w:rFonts w:eastAsia="MS Mincho"/>
                <w:iCs/>
                <w:lang w:eastAsia="ja-JP"/>
              </w:rPr>
              <w:t>(re-)</w:t>
            </w:r>
            <w:r w:rsidRPr="00B3051A">
              <w:rPr>
                <w:rFonts w:eastAsia="MS Mincho"/>
                <w:iCs/>
                <w:lang w:eastAsia="ja-JP"/>
              </w:rPr>
              <w:t>selection</w:t>
            </w:r>
            <w:r>
              <w:rPr>
                <w:rFonts w:hint="eastAsia"/>
                <w:iCs/>
                <w:lang w:eastAsia="zh-CN"/>
              </w:rPr>
              <w:t xml:space="preserve"> for Rel-15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8D1C34" w14:textId="1E105DD6" w:rsidR="00663EB9" w:rsidRPr="001258D8" w:rsidRDefault="00663EB9" w:rsidP="00CA2BF5">
            <w:pPr>
              <w:spacing w:after="0"/>
              <w:rPr>
                <w:iCs/>
                <w:lang w:eastAsia="zh-CN"/>
              </w:rPr>
            </w:pPr>
            <w:r w:rsidRPr="001258D8">
              <w:rPr>
                <w:rFonts w:eastAsia="MS Mincho"/>
                <w:iCs/>
                <w:lang w:eastAsia="ja-JP"/>
              </w:rPr>
              <w:t>Rel-14 resource (re-)selection</w:t>
            </w:r>
            <w:r w:rsidRPr="001258D8">
              <w:rPr>
                <w:iCs/>
                <w:lang w:eastAsia="zh-CN"/>
              </w:rPr>
              <w:t xml:space="preserve"> is used (including T1 and T2) with the following modifications:</w:t>
            </w:r>
          </w:p>
          <w:p w14:paraId="265F8D37" w14:textId="3EAD2B03" w:rsidR="00663EB9" w:rsidRDefault="00663EB9" w:rsidP="00CA2BF5">
            <w:pPr>
              <w:pStyle w:val="ListParagraph"/>
              <w:numPr>
                <w:ilvl w:val="0"/>
                <w:numId w:val="48"/>
              </w:numPr>
              <w:rPr>
                <w:iCs/>
              </w:rPr>
            </w:pPr>
            <w:r w:rsidRPr="00CA2BF5">
              <w:rPr>
                <w:rFonts w:ascii="Times New Roman" w:hAnsi="Times New Roman" w:cs="Times New Roman"/>
                <w:iCs/>
                <w:sz w:val="20"/>
                <w:szCs w:val="20"/>
              </w:rPr>
              <w:t>UE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s sense during silent sTTI symbols. Silent sTTI symbols chosen randomly.</w:t>
            </w:r>
          </w:p>
          <w:p w14:paraId="2C56151A" w14:textId="74ECA332" w:rsidR="00663EB9" w:rsidRPr="00CA2BF5" w:rsidRDefault="00663EB9" w:rsidP="00CA2BF5">
            <w:pPr>
              <w:pStyle w:val="ListParagraph"/>
              <w:numPr>
                <w:ilvl w:val="0"/>
                <w:numId w:val="48"/>
              </w:numPr>
              <w:rPr>
                <w:iCs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Resource reselection may be triggered upon detection of collision affecting all transmissions of a TB</w:t>
            </w:r>
          </w:p>
        </w:tc>
      </w:tr>
      <w:tr w:rsidR="00663EB9" w:rsidRPr="0094025C" w14:paraId="6A085B71" w14:textId="77777777" w:rsidTr="00CA2BF5">
        <w:trPr>
          <w:trHeight w:val="97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6FEC230" w14:textId="77777777" w:rsidR="00663EB9" w:rsidRPr="00B3051A" w:rsidRDefault="00663EB9">
            <w:pPr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>TTI Structure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6E3107E2" w14:textId="1350ADC0" w:rsidR="00663EB9" w:rsidRPr="0094025C" w:rsidRDefault="00663EB9" w:rsidP="00CA2BF5">
            <w:pPr>
              <w:spacing w:after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As described in </w:t>
            </w:r>
            <w:r>
              <w:rPr>
                <w:rFonts w:eastAsia="MS Mincho"/>
                <w:iCs/>
                <w:lang w:eastAsia="ja-JP"/>
              </w:rPr>
              <w:fldChar w:fldCharType="begin"/>
            </w:r>
            <w:r>
              <w:rPr>
                <w:rFonts w:eastAsia="MS Mincho"/>
                <w:iCs/>
                <w:lang w:eastAsia="ja-JP"/>
              </w:rPr>
              <w:instrText xml:space="preserve"> REF _Ref481590324 \r \h  \* MERGEFORMAT </w:instrText>
            </w:r>
            <w:r>
              <w:rPr>
                <w:rFonts w:eastAsia="MS Mincho"/>
                <w:iCs/>
                <w:lang w:eastAsia="ja-JP"/>
              </w:rPr>
            </w:r>
            <w:r>
              <w:rPr>
                <w:rFonts w:eastAsia="MS Mincho"/>
                <w:iCs/>
                <w:lang w:eastAsia="ja-JP"/>
              </w:rPr>
              <w:fldChar w:fldCharType="separate"/>
            </w:r>
            <w:r w:rsidR="00F63F97">
              <w:rPr>
                <w:rFonts w:eastAsia="MS Mincho"/>
                <w:iCs/>
                <w:lang w:eastAsia="ja-JP"/>
              </w:rPr>
              <w:t>[4]</w:t>
            </w:r>
            <w:r>
              <w:rPr>
                <w:rFonts w:eastAsia="MS Mincho"/>
                <w:iCs/>
                <w:lang w:eastAsia="ja-JP"/>
              </w:rPr>
              <w:fldChar w:fldCharType="end"/>
            </w:r>
          </w:p>
        </w:tc>
      </w:tr>
      <w:tr w:rsidR="00663EB9" w:rsidRPr="00B3051A" w14:paraId="1898BB05" w14:textId="77777777" w:rsidTr="00CA2BF5">
        <w:trPr>
          <w:trHeight w:val="74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01F84C37" w14:textId="77777777" w:rsidR="00663EB9" w:rsidRPr="00B3051A" w:rsidRDefault="00663EB9">
            <w:pPr>
              <w:rPr>
                <w:rFonts w:eastAsia="MS Mincho"/>
                <w:iCs/>
                <w:lang w:eastAsia="ja-JP"/>
              </w:rPr>
            </w:pPr>
            <w:r w:rsidRPr="00B3051A">
              <w:rPr>
                <w:rFonts w:eastAsia="MS Mincho"/>
                <w:iCs/>
                <w:lang w:eastAsia="ja-JP"/>
              </w:rPr>
              <w:t>Frequency allocation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1BC9679D" w14:textId="7B6B363D" w:rsidR="00663EB9" w:rsidRPr="00B3051A" w:rsidRDefault="00663EB9" w:rsidP="00CA2BF5">
            <w:pPr>
              <w:spacing w:after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Same as Rel-14, including 2 PRB for SCI format 1</w:t>
            </w:r>
          </w:p>
        </w:tc>
      </w:tr>
      <w:tr w:rsidR="00663EB9" w:rsidRPr="00E0645B" w:rsidDel="004677B0" w14:paraId="28E8656F" w14:textId="77777777" w:rsidTr="00CA2BF5">
        <w:trPr>
          <w:trHeight w:val="383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364B5F25" w14:textId="77777777" w:rsidR="00663EB9" w:rsidRPr="001258D8" w:rsidRDefault="00663EB9">
            <w:pPr>
              <w:rPr>
                <w:iCs/>
                <w:lang w:eastAsia="zh-CN"/>
              </w:rPr>
            </w:pPr>
            <w:r w:rsidRPr="001258D8">
              <w:rPr>
                <w:iCs/>
                <w:lang w:eastAsia="zh-CN"/>
              </w:rPr>
              <w:t>Performance metric used for comparison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14:paraId="47BC968C" w14:textId="2F2CDF49" w:rsidR="00663EB9" w:rsidRPr="001258D8" w:rsidDel="004677B0" w:rsidRDefault="00663EB9" w:rsidP="00CA2BF5">
            <w:pPr>
              <w:spacing w:after="0"/>
              <w:rPr>
                <w:rFonts w:eastAsia="MS Mincho"/>
                <w:iCs/>
                <w:lang w:eastAsia="ja-JP"/>
              </w:rPr>
            </w:pPr>
            <w:r w:rsidRPr="001258D8">
              <w:rPr>
                <w:rFonts w:eastAsia="MS Mincho"/>
                <w:iCs/>
                <w:lang w:eastAsia="ja-JP"/>
              </w:rPr>
              <w:t xml:space="preserve">The PRR performance of V2V communication among </w:t>
            </w:r>
            <w:r w:rsidRPr="001258D8">
              <w:rPr>
                <w:iCs/>
                <w:lang w:eastAsia="zh-CN"/>
              </w:rPr>
              <w:t>Rel-15</w:t>
            </w:r>
            <w:r w:rsidRPr="001258D8">
              <w:rPr>
                <w:rFonts w:eastAsia="MS Mincho"/>
                <w:iCs/>
                <w:lang w:eastAsia="ja-JP"/>
              </w:rPr>
              <w:t xml:space="preserve"> UEs</w:t>
            </w:r>
          </w:p>
        </w:tc>
      </w:tr>
      <w:tr w:rsidR="00663EB9" w:rsidRPr="00E0645B" w:rsidDel="004677B0" w14:paraId="779157A7" w14:textId="77777777" w:rsidTr="00CA2BF5">
        <w:trPr>
          <w:trHeight w:val="179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</w:tcPr>
          <w:p w14:paraId="7CA7985D" w14:textId="7142112B" w:rsidR="00663EB9" w:rsidRDefault="00663EB9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SCI</w:t>
            </w:r>
            <w:r w:rsidR="00404E14">
              <w:rPr>
                <w:iCs/>
                <w:lang w:eastAsia="zh-CN"/>
              </w:rPr>
              <w:t xml:space="preserve"> format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</w:tcPr>
          <w:p w14:paraId="448D30AE" w14:textId="1D02EEC4" w:rsidR="00663EB9" w:rsidRDefault="00663EB9">
            <w:pPr>
              <w:spacing w:after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Format 1, using Rel-14 PSCCH</w:t>
            </w:r>
          </w:p>
        </w:tc>
      </w:tr>
    </w:tbl>
    <w:p w14:paraId="4F2F8C2B" w14:textId="4B09CF3F" w:rsidR="0004076B" w:rsidRPr="008540C3" w:rsidRDefault="0004076B" w:rsidP="00CA2BF5">
      <w:pPr>
        <w:pStyle w:val="BodyText"/>
        <w:spacing w:before="240" w:after="240"/>
        <w:jc w:val="both"/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We note that the sTTI structure presented in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_Ref481590324 \r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F63F97">
        <w:rPr>
          <w:sz w:val="20"/>
          <w:szCs w:val="20"/>
        </w:rPr>
        <w:t>[4]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has very limited impact on legacy UEs. The reason is that both Rel-14 and Rel-15 UEs use the first OFDM symbol for settling the AGC. From the point of view of a Rel-14 receiver, the only difference between a transmission from a Rel-14 UE and a transmission from a Rel-15 UE is the presence of silent sTTI symbols. Since these symbols appear sparsely, the impact on Rel-14 UEs is negligible. Differentiation of Rel-14 and Rel-15 UEs is based on SCI contents.</w:t>
      </w:r>
      <w:r w:rsidR="003A5908">
        <w:rPr>
          <w:sz w:val="20"/>
          <w:szCs w:val="20"/>
        </w:rPr>
        <w:t xml:space="preserve"> For this </w:t>
      </w:r>
      <w:r w:rsidR="00C74E14">
        <w:rPr>
          <w:sz w:val="20"/>
          <w:szCs w:val="20"/>
        </w:rPr>
        <w:t>reason,</w:t>
      </w:r>
      <w:r w:rsidR="003A5908">
        <w:rPr>
          <w:sz w:val="20"/>
          <w:szCs w:val="20"/>
        </w:rPr>
        <w:t xml:space="preserve"> </w:t>
      </w:r>
      <w:r w:rsidR="00105D41">
        <w:rPr>
          <w:sz w:val="20"/>
          <w:szCs w:val="20"/>
        </w:rPr>
        <w:t xml:space="preserve">we show </w:t>
      </w:r>
      <w:r w:rsidR="003A5908">
        <w:rPr>
          <w:sz w:val="20"/>
          <w:szCs w:val="20"/>
        </w:rPr>
        <w:t>here only simulation results related to Rel-15 UEs.</w:t>
      </w:r>
    </w:p>
    <w:p w14:paraId="2BA474DA" w14:textId="37521A7C" w:rsidR="00980E03" w:rsidRDefault="0048042D" w:rsidP="00706C19">
      <w:pPr>
        <w:pStyle w:val="Heading1"/>
      </w:pPr>
      <w:r>
        <w:t>Evaluation results</w:t>
      </w:r>
    </w:p>
    <w:p w14:paraId="451CC65E" w14:textId="5876EA7E" w:rsidR="005C39BF" w:rsidRDefault="00F01680" w:rsidP="00CA2BF5">
      <w:pPr>
        <w:jc w:val="both"/>
      </w:pPr>
      <w:r w:rsidRPr="00CA2BF5">
        <w:t xml:space="preserve">In </w:t>
      </w:r>
      <w:r w:rsidR="00DA4156">
        <w:fldChar w:fldCharType="begin"/>
      </w:r>
      <w:r w:rsidR="00DA4156">
        <w:instrText xml:space="preserve"> REF _Ref481614265 \h </w:instrText>
      </w:r>
      <w:r w:rsidR="00DA4156">
        <w:fldChar w:fldCharType="separate"/>
      </w:r>
      <w:r w:rsidR="00F63F97">
        <w:t xml:space="preserve">Figure </w:t>
      </w:r>
      <w:r w:rsidR="00F63F97">
        <w:rPr>
          <w:noProof/>
        </w:rPr>
        <w:t>1</w:t>
      </w:r>
      <w:r w:rsidR="00DA4156">
        <w:fldChar w:fldCharType="end"/>
      </w:r>
      <w:r w:rsidR="00AB0008">
        <w:t xml:space="preserve">, we show the PRR performance in the highway scenario with low speed (70 km/h). We show the best system configuration for Rel-15 sTTI </w:t>
      </w:r>
      <w:r w:rsidR="00B16CC0">
        <w:t>together with</w:t>
      </w:r>
      <w:r w:rsidR="00AB0008">
        <w:t xml:space="preserve"> performance of transmission according to Rel-14 specifications. We </w:t>
      </w:r>
      <w:r w:rsidR="00C74E14">
        <w:t>observe</w:t>
      </w:r>
      <w:r w:rsidR="00AB0008">
        <w:t xml:space="preserve"> that using silent sTTI symbols significantly improves the PRR performance. </w:t>
      </w:r>
      <w:r w:rsidR="005C39BF">
        <w:t xml:space="preserve">More specifically, </w:t>
      </w:r>
      <w:r w:rsidR="004F7993">
        <w:t xml:space="preserve">we observe that the PRR decays slower for a long range. </w:t>
      </w:r>
      <w:r w:rsidR="00C74E14">
        <w:t>This means that higher PRR values are achieved for UEs in proximity and that the distance for PRR=0.9 is increased by 20%.</w:t>
      </w:r>
    </w:p>
    <w:p w14:paraId="7DC3FDDF" w14:textId="77777777" w:rsidR="00DA4156" w:rsidRDefault="00E411A7" w:rsidP="00CA2BF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517A5BD" wp14:editId="43FFBB25">
            <wp:extent cx="3600000" cy="2700000"/>
            <wp:effectExtent l="0" t="0" r="635" b="5715"/>
            <wp:docPr id="1" name="Picture 1" descr="C:\Users\ericabl\Documents\SVN folders\SWEA\Swea-L1\Working Areas\RAN1_89 Hangzhou\Contributions_LTE\V2X\sTTI initial evaluation\figures\HighwaySlow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icabl\Documents\SVN folders\SWEA\Swea-L1\Working Areas\RAN1_89 Hangzhou\Contributions_LTE\V2X\sTTI initial evaluation\figures\HighwaySlow.e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8020B" w14:textId="1D5DE6E5" w:rsidR="00E411A7" w:rsidRDefault="00DA4156" w:rsidP="00CA2BF5">
      <w:pPr>
        <w:pStyle w:val="Caption"/>
        <w:jc w:val="center"/>
      </w:pPr>
      <w:bookmarkStart w:id="5" w:name="_Ref4816142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3F97">
        <w:rPr>
          <w:noProof/>
        </w:rPr>
        <w:t>1</w:t>
      </w:r>
      <w:r>
        <w:fldChar w:fldCharType="end"/>
      </w:r>
      <w:bookmarkEnd w:id="5"/>
      <w:r>
        <w:t>. PRR performance for UEs in the highway scenario with low speed (70 kmh).</w:t>
      </w:r>
    </w:p>
    <w:p w14:paraId="17B35C16" w14:textId="60C577E6" w:rsidR="00C74E14" w:rsidRDefault="00C74E14" w:rsidP="00CA2BF5">
      <w:pPr>
        <w:jc w:val="both"/>
      </w:pPr>
      <w:r w:rsidRPr="003C1C62">
        <w:t xml:space="preserve">In </w:t>
      </w:r>
      <w:r w:rsidR="00E411A7">
        <w:fldChar w:fldCharType="begin"/>
      </w:r>
      <w:r w:rsidR="00E411A7">
        <w:instrText xml:space="preserve"> REF _Ref481614099 \h </w:instrText>
      </w:r>
      <w:r w:rsidR="00E411A7">
        <w:fldChar w:fldCharType="separate"/>
      </w:r>
      <w:r w:rsidR="00F63F97">
        <w:t xml:space="preserve">Figure </w:t>
      </w:r>
      <w:r w:rsidR="00F63F97">
        <w:rPr>
          <w:noProof/>
        </w:rPr>
        <w:t>2</w:t>
      </w:r>
      <w:r w:rsidR="00E411A7">
        <w:fldChar w:fldCharType="end"/>
      </w:r>
      <w:r>
        <w:t>, we show the PRR performance in the urban scenario with high speed (60 km/h) for UEs in the same street (</w:t>
      </w:r>
      <w:r w:rsidR="00E411A7">
        <w:t>right</w:t>
      </w:r>
      <w:r>
        <w:t>)</w:t>
      </w:r>
      <w:r w:rsidR="00E411A7">
        <w:t xml:space="preserve"> and</w:t>
      </w:r>
      <w:r>
        <w:t xml:space="preserve"> UEs in perpendi</w:t>
      </w:r>
      <w:r w:rsidR="00105D41">
        <w:t>c</w:t>
      </w:r>
      <w:r>
        <w:t>ular streets (</w:t>
      </w:r>
      <w:r w:rsidR="00E411A7">
        <w:t>left)</w:t>
      </w:r>
      <w:r>
        <w:t xml:space="preserve">. The results correspond to the single best system configuration for Rel-15 sTTI </w:t>
      </w:r>
      <w:r w:rsidR="00B16CC0">
        <w:t xml:space="preserve">together with </w:t>
      </w:r>
      <w:r>
        <w:t>performance of transmission according to Rel-14 specifications. Again, we observe that using silent sTTI symbols significantly improves the PRR performance. The type</w:t>
      </w:r>
      <w:r w:rsidR="00404E14">
        <w:t>s</w:t>
      </w:r>
      <w:r>
        <w:t xml:space="preserve"> of gains observed are similar to those described in the previous case (i.e., slower decay of the PRR and extension of the range corresponding to PRR=0.9).</w:t>
      </w:r>
    </w:p>
    <w:p w14:paraId="79617C8E" w14:textId="2B0BE23A" w:rsidR="00E411A7" w:rsidRDefault="00105D41" w:rsidP="00C90EED">
      <w:pPr>
        <w:jc w:val="both"/>
      </w:pPr>
      <w:r w:rsidRPr="00105D41">
        <w:rPr>
          <w:noProof/>
          <w:lang w:val="en-US"/>
        </w:rPr>
        <w:drawing>
          <wp:inline distT="0" distB="0" distL="0" distR="0" wp14:anchorId="105719BF" wp14:editId="2CC82029">
            <wp:extent cx="3017520" cy="22631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          </w:t>
      </w:r>
      <w:r w:rsidR="00A82805" w:rsidRPr="00A82805">
        <w:rPr>
          <w:noProof/>
          <w:lang w:val="en-US"/>
        </w:rPr>
        <w:drawing>
          <wp:inline distT="0" distB="0" distL="0" distR="0" wp14:anchorId="174073F4" wp14:editId="2C69B0AF">
            <wp:extent cx="3017520" cy="2262233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2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58987" w14:textId="642AC26F" w:rsidR="00E411A7" w:rsidRDefault="00E411A7" w:rsidP="00CA2BF5">
      <w:pPr>
        <w:pStyle w:val="Caption"/>
        <w:jc w:val="center"/>
      </w:pPr>
      <w:bookmarkStart w:id="6" w:name="_Ref4816140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3F97">
        <w:rPr>
          <w:noProof/>
        </w:rPr>
        <w:t>2</w:t>
      </w:r>
      <w:r>
        <w:fldChar w:fldCharType="end"/>
      </w:r>
      <w:bookmarkEnd w:id="6"/>
      <w:r w:rsidR="00DA4156">
        <w:t>. PRR performance for UEs in perpendicular streets (left) and same street (right) in the urban scenario with high speed (60 kmh).</w:t>
      </w:r>
    </w:p>
    <w:p w14:paraId="07DC8E84" w14:textId="54DB34A1" w:rsidR="00AB0008" w:rsidRDefault="00B214B5" w:rsidP="00CA2BF5">
      <w:pPr>
        <w:jc w:val="both"/>
      </w:pPr>
      <w:r>
        <w:t xml:space="preserve">In both cases, the improvements come from the ability of the </w:t>
      </w:r>
      <w:r w:rsidR="00AB0008">
        <w:t xml:space="preserve">UE to sense on the resources used for its own transmission and trigger resource reselection if a collision is detected. </w:t>
      </w:r>
      <w:r w:rsidR="00DA4156">
        <w:t xml:space="preserve">We emphasize that silent sTTI </w:t>
      </w:r>
      <w:r w:rsidR="00810FCB">
        <w:t xml:space="preserve">symbols </w:t>
      </w:r>
      <w:r w:rsidR="00DA4156">
        <w:t xml:space="preserve">for sensing is useful in avoiding persistent collisions between </w:t>
      </w:r>
      <w:r w:rsidR="00A82805">
        <w:t>neighbouring</w:t>
      </w:r>
      <w:r w:rsidR="00DA4156">
        <w:t xml:space="preserve"> vehicles, as indicated by the increase in PRR for distances within the range corresponding to PRR=0.9.</w:t>
      </w:r>
    </w:p>
    <w:p w14:paraId="4F66FC89" w14:textId="6C12EB9F" w:rsidR="00F01680" w:rsidRPr="00CA2BF5" w:rsidRDefault="00F01680" w:rsidP="00F63F97">
      <w:pPr>
        <w:jc w:val="both"/>
      </w:pPr>
      <w:r w:rsidRPr="00CA2BF5">
        <w:t>For the other two scenarios</w:t>
      </w:r>
      <w:r w:rsidR="00404E14">
        <w:t>,</w:t>
      </w:r>
      <w:r w:rsidRPr="00CA2BF5">
        <w:t xml:space="preserve"> the advantage of using silent sTTI symbols is smaller:</w:t>
      </w:r>
    </w:p>
    <w:p w14:paraId="3928F623" w14:textId="17ACF1F8" w:rsidR="00F01680" w:rsidRDefault="00F01680" w:rsidP="00F63F97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cs="Times New Roman"/>
          <w:sz w:val="20"/>
          <w:szCs w:val="20"/>
        </w:rPr>
        <w:t>In the highway scenario with high speed (140 km</w:t>
      </w:r>
      <w:r w:rsidR="00AB0008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>h), the density of UEs is too low to have any noticeable effect.</w:t>
      </w:r>
      <w:r w:rsidR="003E5A16">
        <w:rPr>
          <w:rFonts w:ascii="Times New Roman" w:hAnsi="Times New Roman" w:cs="Times New Roman"/>
          <w:sz w:val="20"/>
          <w:szCs w:val="20"/>
        </w:rPr>
        <w:t xml:space="preserve"> That is, the distributed resource allocation algorithm is already successful enough in preventing collisions.</w:t>
      </w:r>
    </w:p>
    <w:p w14:paraId="07975767" w14:textId="1EAD73EE" w:rsidR="00F01680" w:rsidRPr="00CA2BF5" w:rsidRDefault="00F01680" w:rsidP="00F63F97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cs="Times New Roman"/>
          <w:sz w:val="20"/>
          <w:szCs w:val="20"/>
        </w:rPr>
        <w:t>In the urban scenario with low speed (15 km</w:t>
      </w:r>
      <w:r w:rsidR="00AB0008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>h), congestion is very high and performance is always limited by interference. That is, reselecting resources does not change substantially the picture because all of them are heavily occupied.</w:t>
      </w:r>
    </w:p>
    <w:p w14:paraId="63CECCA7" w14:textId="7447823C" w:rsidR="000309B9" w:rsidRPr="00CA2BF5" w:rsidRDefault="000309B9" w:rsidP="00CA2BF5">
      <w:pPr>
        <w:spacing w:before="240"/>
        <w:rPr>
          <w:b/>
          <w:i/>
        </w:rPr>
      </w:pPr>
      <w:r w:rsidRPr="00CA2BF5">
        <w:rPr>
          <w:b/>
          <w:i/>
        </w:rPr>
        <w:t>Observation</w:t>
      </w:r>
      <w:r w:rsidR="00A82805">
        <w:rPr>
          <w:b/>
          <w:i/>
        </w:rPr>
        <w:t>s</w:t>
      </w:r>
      <w:r w:rsidRPr="00CA2BF5">
        <w:rPr>
          <w:b/>
          <w:i/>
        </w:rPr>
        <w:t>:</w:t>
      </w:r>
    </w:p>
    <w:p w14:paraId="2D76E78B" w14:textId="598EA790" w:rsidR="00C63421" w:rsidRDefault="00C63421" w:rsidP="00CA2BF5">
      <w:pPr>
        <w:pStyle w:val="ListParagraph"/>
        <w:numPr>
          <w:ilvl w:val="0"/>
          <w:numId w:val="49"/>
        </w:numPr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The performance of </w:t>
      </w:r>
      <w:r w:rsidR="004A7E3A">
        <w:rPr>
          <w:rFonts w:ascii="Times New Roman" w:hAnsi="Times New Roman" w:cs="Times New Roman"/>
          <w:b/>
          <w:i/>
          <w:sz w:val="20"/>
          <w:szCs w:val="20"/>
        </w:rPr>
        <w:t>Rel-15 UEs using silent sTTI symbols is improved with respect to Rel-14.</w:t>
      </w:r>
    </w:p>
    <w:p w14:paraId="09EA89D3" w14:textId="1A2235CE" w:rsidR="004850D1" w:rsidRPr="00CA2BF5" w:rsidRDefault="004850D1" w:rsidP="00CA2BF5">
      <w:pPr>
        <w:pStyle w:val="ListParagraph"/>
        <w:numPr>
          <w:ilvl w:val="0"/>
          <w:numId w:val="49"/>
        </w:numPr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The impact of Rel-15 UEs using silent sTTI symbols on Rel-14 UEs is negligible.</w:t>
      </w:r>
    </w:p>
    <w:p w14:paraId="3C4455C8" w14:textId="20F01CB7" w:rsidR="00706C19" w:rsidRDefault="00980E03" w:rsidP="00706C19">
      <w:pPr>
        <w:pStyle w:val="Heading1"/>
      </w:pPr>
      <w:r>
        <w:lastRenderedPageBreak/>
        <w:t>Conclusion</w:t>
      </w:r>
      <w:r w:rsidR="0004076B" w:rsidRPr="00744368">
        <w:t xml:space="preserve"> </w:t>
      </w:r>
    </w:p>
    <w:p w14:paraId="6AFED881" w14:textId="227A409E" w:rsidR="00950065" w:rsidRPr="00C90EED" w:rsidRDefault="00950065" w:rsidP="009B50BD">
      <w:pPr>
        <w:jc w:val="both"/>
        <w:rPr>
          <w:lang w:val="en-US" w:eastAsia="zh-CN"/>
        </w:rPr>
      </w:pPr>
      <w:r w:rsidRPr="00C90EED">
        <w:rPr>
          <w:lang w:val="en-US" w:eastAsia="zh-CN"/>
        </w:rPr>
        <w:t xml:space="preserve">In this paper we have </w:t>
      </w:r>
      <w:r w:rsidR="00E75858">
        <w:rPr>
          <w:lang w:val="en-US" w:eastAsia="zh-CN"/>
        </w:rPr>
        <w:t xml:space="preserve">presented simulation results evaluating the performance of the sTTI solution presented in </w:t>
      </w:r>
      <w:r w:rsidR="00E75858">
        <w:rPr>
          <w:lang w:val="en-US" w:eastAsia="zh-CN"/>
        </w:rPr>
        <w:fldChar w:fldCharType="begin"/>
      </w:r>
      <w:r w:rsidR="00E75858">
        <w:rPr>
          <w:lang w:val="en-US" w:eastAsia="zh-CN"/>
        </w:rPr>
        <w:instrText xml:space="preserve"> REF _Ref481590324 \r \h </w:instrText>
      </w:r>
      <w:r w:rsidR="00E75858">
        <w:rPr>
          <w:lang w:val="en-US" w:eastAsia="zh-CN"/>
        </w:rPr>
      </w:r>
      <w:r w:rsidR="00E75858">
        <w:rPr>
          <w:lang w:val="en-US" w:eastAsia="zh-CN"/>
        </w:rPr>
        <w:fldChar w:fldCharType="separate"/>
      </w:r>
      <w:r w:rsidR="00F63F97">
        <w:rPr>
          <w:lang w:val="en-US" w:eastAsia="zh-CN"/>
        </w:rPr>
        <w:t>[4]</w:t>
      </w:r>
      <w:r w:rsidR="00E75858">
        <w:rPr>
          <w:lang w:val="en-US" w:eastAsia="zh-CN"/>
        </w:rPr>
        <w:fldChar w:fldCharType="end"/>
      </w:r>
      <w:r w:rsidR="00680EA0" w:rsidRPr="00C90EED">
        <w:rPr>
          <w:lang w:val="en-US" w:eastAsia="zh-CN"/>
        </w:rPr>
        <w:t>.</w:t>
      </w:r>
      <w:r w:rsidR="00F05F35" w:rsidRPr="00C90EED">
        <w:rPr>
          <w:lang w:val="en-US" w:eastAsia="zh-CN"/>
        </w:rPr>
        <w:t xml:space="preserve"> We have </w:t>
      </w:r>
      <w:r w:rsidRPr="00C90EED">
        <w:rPr>
          <w:lang w:val="en-US" w:eastAsia="zh-CN"/>
        </w:rPr>
        <w:t>observed the following:</w:t>
      </w:r>
    </w:p>
    <w:p w14:paraId="0913C196" w14:textId="77777777" w:rsidR="00C90EED" w:rsidRPr="00C90EED" w:rsidRDefault="00C90EED" w:rsidP="00C90EED">
      <w:pPr>
        <w:spacing w:before="240"/>
        <w:rPr>
          <w:b/>
          <w:i/>
        </w:rPr>
      </w:pPr>
      <w:r w:rsidRPr="00C90EED">
        <w:rPr>
          <w:b/>
          <w:i/>
        </w:rPr>
        <w:t>Observations:</w:t>
      </w:r>
    </w:p>
    <w:p w14:paraId="55F6589B" w14:textId="77777777" w:rsidR="00C90EED" w:rsidRPr="00C90EED" w:rsidRDefault="00C90EED" w:rsidP="00C90EED">
      <w:pPr>
        <w:pStyle w:val="ListParagraph"/>
        <w:numPr>
          <w:ilvl w:val="0"/>
          <w:numId w:val="49"/>
        </w:numPr>
        <w:rPr>
          <w:rFonts w:ascii="Times New Roman" w:hAnsi="Times New Roman"/>
          <w:b/>
          <w:i/>
          <w:sz w:val="20"/>
        </w:rPr>
      </w:pPr>
      <w:r w:rsidRPr="00C90EED">
        <w:rPr>
          <w:rFonts w:ascii="Times New Roman" w:hAnsi="Times New Roman" w:cs="Times New Roman"/>
          <w:b/>
          <w:i/>
          <w:sz w:val="20"/>
          <w:szCs w:val="20"/>
        </w:rPr>
        <w:t>The performance of Rel-15 UEs using silent sTTI symbols is improved with respect to Rel-14.</w:t>
      </w:r>
    </w:p>
    <w:p w14:paraId="66B2063A" w14:textId="77777777" w:rsidR="00C90EED" w:rsidRPr="00C90EED" w:rsidRDefault="00C90EED" w:rsidP="00C90EED">
      <w:pPr>
        <w:pStyle w:val="ListParagraph"/>
        <w:numPr>
          <w:ilvl w:val="0"/>
          <w:numId w:val="49"/>
        </w:numPr>
        <w:rPr>
          <w:rFonts w:ascii="Times New Roman" w:hAnsi="Times New Roman"/>
          <w:b/>
          <w:i/>
          <w:sz w:val="20"/>
        </w:rPr>
      </w:pPr>
      <w:r w:rsidRPr="00C90EED">
        <w:rPr>
          <w:rFonts w:ascii="Times New Roman" w:hAnsi="Times New Roman" w:cs="Times New Roman"/>
          <w:b/>
          <w:i/>
          <w:sz w:val="20"/>
          <w:szCs w:val="20"/>
        </w:rPr>
        <w:t>The impact of Rel-15 UEs using silent sTTI symbols on Rel-14 UEs is negligible.</w:t>
      </w:r>
    </w:p>
    <w:p w14:paraId="5036C165" w14:textId="5810C5D9" w:rsidR="00706C19" w:rsidRPr="00DA1475" w:rsidRDefault="00706C19" w:rsidP="00706C19">
      <w:pPr>
        <w:pStyle w:val="Heading1"/>
      </w:pPr>
      <w:r w:rsidRPr="00DA1475">
        <w:t>Reference</w:t>
      </w:r>
    </w:p>
    <w:p w14:paraId="43C39FC8" w14:textId="4CCB025D" w:rsidR="00953777" w:rsidRDefault="00953777" w:rsidP="00E134E4">
      <w:pPr>
        <w:pStyle w:val="ListParagraph"/>
        <w:ind w:left="567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7" w:name="_Ref481589982"/>
      <w:bookmarkStart w:id="8" w:name="_Ref477334379"/>
      <w:bookmarkStart w:id="9" w:name="_Ref462922309"/>
      <w:bookmarkStart w:id="10" w:name="_Ref450915949"/>
    </w:p>
    <w:p w14:paraId="1588CC25" w14:textId="23269862" w:rsidR="00B9028E" w:rsidRPr="002B64A2" w:rsidRDefault="00262324" w:rsidP="00082BCD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1" w:name="_Ref481590073"/>
      <w:bookmarkStart w:id="12" w:name="_Ref477334356"/>
      <w:r w:rsidRPr="002B64A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2B64A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11"/>
      <w:bookmarkEnd w:id="12"/>
    </w:p>
    <w:p w14:paraId="17E07803" w14:textId="0F847541" w:rsidR="007B7D1E" w:rsidRDefault="008540C3" w:rsidP="00082BCD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3" w:name="_Ref481590079"/>
      <w:r w:rsidRPr="002B64A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Chairman’s notes</w:t>
      </w:r>
      <w:r w:rsidRPr="00B178D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RAN1#88bis</w:t>
      </w:r>
      <w:r w:rsidR="007B7D1E" w:rsidRPr="00B178D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.</w:t>
      </w:r>
      <w:bookmarkEnd w:id="7"/>
      <w:bookmarkEnd w:id="13"/>
    </w:p>
    <w:p w14:paraId="6792F0AA" w14:textId="4A1A4CCC" w:rsidR="00445DD7" w:rsidRPr="00B178D9" w:rsidRDefault="00445DD7" w:rsidP="00082BCD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4" w:name="_Ref489531055"/>
      <w:r w:rsidRPr="002B64A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Chairman’s notes</w:t>
      </w:r>
      <w:r w:rsidRPr="00B178D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RAN1#8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9</w:t>
      </w:r>
      <w:r w:rsidRPr="00B178D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.</w:t>
      </w:r>
      <w:bookmarkEnd w:id="14"/>
    </w:p>
    <w:p w14:paraId="03B6E9A9" w14:textId="464D3E7B" w:rsidR="003F105B" w:rsidRPr="0030005A" w:rsidRDefault="00B16CC0" w:rsidP="00E92726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5" w:name="_Ref481590324"/>
      <w:bookmarkEnd w:id="8"/>
      <w:r w:rsidRPr="003000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445DD7" w:rsidRPr="003000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17</w:t>
      </w:r>
      <w:r w:rsidR="00404E1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12658</w:t>
      </w:r>
      <w:r w:rsidRPr="003000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“Short TTI for increasing the reliability for PC5-based V2X”, Ericsson</w:t>
      </w:r>
      <w:bookmarkEnd w:id="15"/>
    </w:p>
    <w:bookmarkEnd w:id="9"/>
    <w:bookmarkEnd w:id="10"/>
    <w:p w14:paraId="21A7151F" w14:textId="60FC744E" w:rsidR="00E92726" w:rsidRPr="00420D28" w:rsidRDefault="00E92726"/>
    <w:sectPr w:rsidR="00E92726" w:rsidRPr="00420D28" w:rsidSect="004B31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44F1F" w14:textId="77777777" w:rsidR="00FE76FE" w:rsidRDefault="00FE76FE">
      <w:r>
        <w:separator/>
      </w:r>
    </w:p>
  </w:endnote>
  <w:endnote w:type="continuationSeparator" w:id="0">
    <w:p w14:paraId="15B7D17D" w14:textId="77777777" w:rsidR="00FE76FE" w:rsidRDefault="00FE7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68734" w14:textId="77777777" w:rsidR="00FE76FE" w:rsidRDefault="00FE76FE">
      <w:r>
        <w:separator/>
      </w:r>
    </w:p>
  </w:footnote>
  <w:footnote w:type="continuationSeparator" w:id="0">
    <w:p w14:paraId="48D0DFA1" w14:textId="77777777" w:rsidR="00FE76FE" w:rsidRDefault="00FE7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158C4015"/>
    <w:multiLevelType w:val="hybridMultilevel"/>
    <w:tmpl w:val="597426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929B0"/>
    <w:multiLevelType w:val="hybridMultilevel"/>
    <w:tmpl w:val="1D4AF26E"/>
    <w:lvl w:ilvl="0" w:tplc="008C6A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604F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1CEF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4062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9ADF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78B3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40D6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066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620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D7D9D"/>
    <w:multiLevelType w:val="hybridMultilevel"/>
    <w:tmpl w:val="8472A4BC"/>
    <w:lvl w:ilvl="0" w:tplc="6C5A1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1AA8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0E85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A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BC67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8E17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22FD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1AC2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58D4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F17DF9"/>
    <w:multiLevelType w:val="hybridMultilevel"/>
    <w:tmpl w:val="031806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8E5"/>
    <w:multiLevelType w:val="hybridMultilevel"/>
    <w:tmpl w:val="6FE4E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2254F"/>
    <w:multiLevelType w:val="hybridMultilevel"/>
    <w:tmpl w:val="F53EF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01727"/>
    <w:multiLevelType w:val="hybridMultilevel"/>
    <w:tmpl w:val="F0B85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49A5149B"/>
    <w:multiLevelType w:val="hybridMultilevel"/>
    <w:tmpl w:val="8752BA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B5FEE"/>
    <w:multiLevelType w:val="hybridMultilevel"/>
    <w:tmpl w:val="0AEC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C7BFD"/>
    <w:multiLevelType w:val="hybridMultilevel"/>
    <w:tmpl w:val="CCAEB3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9E04147"/>
    <w:multiLevelType w:val="hybridMultilevel"/>
    <w:tmpl w:val="27D8D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F5040"/>
    <w:multiLevelType w:val="hybridMultilevel"/>
    <w:tmpl w:val="CE32C95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F4E02EA"/>
    <w:multiLevelType w:val="hybridMultilevel"/>
    <w:tmpl w:val="4D98350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C5667"/>
    <w:multiLevelType w:val="hybridMultilevel"/>
    <w:tmpl w:val="FB5EDE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97224"/>
    <w:multiLevelType w:val="hybridMultilevel"/>
    <w:tmpl w:val="61743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B1C7005"/>
    <w:multiLevelType w:val="hybridMultilevel"/>
    <w:tmpl w:val="8698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BC723F"/>
    <w:multiLevelType w:val="hybridMultilevel"/>
    <w:tmpl w:val="5F4ECF7C"/>
    <w:lvl w:ilvl="0" w:tplc="5D060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BE8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F656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C83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4CF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DE21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1871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D031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CD0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31B2E91"/>
    <w:multiLevelType w:val="hybridMultilevel"/>
    <w:tmpl w:val="5D88B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764AAF"/>
    <w:multiLevelType w:val="hybridMultilevel"/>
    <w:tmpl w:val="9E82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7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9"/>
  </w:num>
  <w:num w:numId="2">
    <w:abstractNumId w:val="45"/>
  </w:num>
  <w:num w:numId="3">
    <w:abstractNumId w:val="40"/>
  </w:num>
  <w:num w:numId="4">
    <w:abstractNumId w:val="19"/>
  </w:num>
  <w:num w:numId="5">
    <w:abstractNumId w:val="24"/>
  </w:num>
  <w:num w:numId="6">
    <w:abstractNumId w:val="46"/>
  </w:num>
  <w:num w:numId="7">
    <w:abstractNumId w:val="2"/>
  </w:num>
  <w:num w:numId="8">
    <w:abstractNumId w:val="36"/>
  </w:num>
  <w:num w:numId="9">
    <w:abstractNumId w:val="18"/>
  </w:num>
  <w:num w:numId="10">
    <w:abstractNumId w:val="25"/>
  </w:num>
  <w:num w:numId="11">
    <w:abstractNumId w:val="47"/>
  </w:num>
  <w:num w:numId="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</w:num>
  <w:num w:numId="16">
    <w:abstractNumId w:val="38"/>
  </w:num>
  <w:num w:numId="17">
    <w:abstractNumId w:val="37"/>
  </w:num>
  <w:num w:numId="18">
    <w:abstractNumId w:val="6"/>
  </w:num>
  <w:num w:numId="19">
    <w:abstractNumId w:val="11"/>
  </w:num>
  <w:num w:numId="20">
    <w:abstractNumId w:val="43"/>
  </w:num>
  <w:num w:numId="21">
    <w:abstractNumId w:val="9"/>
  </w:num>
  <w:num w:numId="22">
    <w:abstractNumId w:val="13"/>
  </w:num>
  <w:num w:numId="23">
    <w:abstractNumId w:val="21"/>
  </w:num>
  <w:num w:numId="24">
    <w:abstractNumId w:val="3"/>
  </w:num>
  <w:num w:numId="25">
    <w:abstractNumId w:val="8"/>
  </w:num>
  <w:num w:numId="26">
    <w:abstractNumId w:val="14"/>
  </w:num>
  <w:num w:numId="27">
    <w:abstractNumId w:val="22"/>
  </w:num>
  <w:num w:numId="28">
    <w:abstractNumId w:val="1"/>
  </w:num>
  <w:num w:numId="29">
    <w:abstractNumId w:val="35"/>
  </w:num>
  <w:num w:numId="30">
    <w:abstractNumId w:val="33"/>
  </w:num>
  <w:num w:numId="31">
    <w:abstractNumId w:val="17"/>
  </w:num>
  <w:num w:numId="32">
    <w:abstractNumId w:val="27"/>
  </w:num>
  <w:num w:numId="33">
    <w:abstractNumId w:val="16"/>
  </w:num>
  <w:num w:numId="34">
    <w:abstractNumId w:val="12"/>
  </w:num>
  <w:num w:numId="35">
    <w:abstractNumId w:val="26"/>
  </w:num>
  <w:num w:numId="36">
    <w:abstractNumId w:val="4"/>
  </w:num>
  <w:num w:numId="37">
    <w:abstractNumId w:val="30"/>
  </w:num>
  <w:num w:numId="38">
    <w:abstractNumId w:val="31"/>
  </w:num>
  <w:num w:numId="39">
    <w:abstractNumId w:val="20"/>
  </w:num>
  <w:num w:numId="40">
    <w:abstractNumId w:val="34"/>
  </w:num>
  <w:num w:numId="41">
    <w:abstractNumId w:val="10"/>
  </w:num>
  <w:num w:numId="42">
    <w:abstractNumId w:val="23"/>
  </w:num>
  <w:num w:numId="43">
    <w:abstractNumId w:val="41"/>
  </w:num>
  <w:num w:numId="44">
    <w:abstractNumId w:val="32"/>
  </w:num>
  <w:num w:numId="45">
    <w:abstractNumId w:val="7"/>
  </w:num>
  <w:num w:numId="46">
    <w:abstractNumId w:val="39"/>
  </w:num>
  <w:num w:numId="47">
    <w:abstractNumId w:val="5"/>
  </w:num>
  <w:num w:numId="48">
    <w:abstractNumId w:val="28"/>
  </w:num>
  <w:num w:numId="49">
    <w:abstractNumId w:val="15"/>
  </w:num>
  <w:num w:numId="50">
    <w:abstractNumId w:val="4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16F"/>
    <w:rsid w:val="0002720F"/>
    <w:rsid w:val="000277B9"/>
    <w:rsid w:val="00027F6E"/>
    <w:rsid w:val="000304A6"/>
    <w:rsid w:val="00030779"/>
    <w:rsid w:val="000309B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76B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2E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2CE9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67C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6A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355"/>
    <w:rsid w:val="000F745E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41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1D26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58D8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8D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51A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4C2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1F0"/>
    <w:rsid w:val="0018032A"/>
    <w:rsid w:val="001808D9"/>
    <w:rsid w:val="00180F4F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29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57F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89B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5515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B3E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3FB"/>
    <w:rsid w:val="00260809"/>
    <w:rsid w:val="00260C82"/>
    <w:rsid w:val="0026106F"/>
    <w:rsid w:val="002613FC"/>
    <w:rsid w:val="00261BD7"/>
    <w:rsid w:val="00261D80"/>
    <w:rsid w:val="00261F73"/>
    <w:rsid w:val="0026219D"/>
    <w:rsid w:val="00262324"/>
    <w:rsid w:val="002627B5"/>
    <w:rsid w:val="002627FF"/>
    <w:rsid w:val="00262D2C"/>
    <w:rsid w:val="00262E4F"/>
    <w:rsid w:val="00262FC5"/>
    <w:rsid w:val="002630D7"/>
    <w:rsid w:val="00263194"/>
    <w:rsid w:val="002631BD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4A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0D2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05A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88D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08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72E"/>
    <w:rsid w:val="003C5C3C"/>
    <w:rsid w:val="003C60A9"/>
    <w:rsid w:val="003C62C3"/>
    <w:rsid w:val="003C661A"/>
    <w:rsid w:val="003C6B8C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16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05B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A25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14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5DD7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1F02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714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42D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0D1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BA9"/>
    <w:rsid w:val="00494D50"/>
    <w:rsid w:val="00494DAB"/>
    <w:rsid w:val="0049515C"/>
    <w:rsid w:val="00495771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07B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A7E3A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7F7"/>
    <w:rsid w:val="004C1ACD"/>
    <w:rsid w:val="004C1C22"/>
    <w:rsid w:val="004C1D4A"/>
    <w:rsid w:val="004C1E03"/>
    <w:rsid w:val="004C224D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93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3BE7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597"/>
    <w:rsid w:val="005446D8"/>
    <w:rsid w:val="00544A53"/>
    <w:rsid w:val="00544B04"/>
    <w:rsid w:val="005450BF"/>
    <w:rsid w:val="0054527E"/>
    <w:rsid w:val="00545358"/>
    <w:rsid w:val="00545EEE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078D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3C8D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BF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1B3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2D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3EB9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EA0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65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6C48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2ACD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2A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007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E25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4C2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B7D1E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1E30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0FCB"/>
    <w:rsid w:val="008115DB"/>
    <w:rsid w:val="00811904"/>
    <w:rsid w:val="00811E06"/>
    <w:rsid w:val="0081221C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0C3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D30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AF1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AC4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1F63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3E9D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3D7B"/>
    <w:rsid w:val="009149B0"/>
    <w:rsid w:val="00914B21"/>
    <w:rsid w:val="00915772"/>
    <w:rsid w:val="009158C7"/>
    <w:rsid w:val="00915D5D"/>
    <w:rsid w:val="00915DBA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6E7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C63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065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777"/>
    <w:rsid w:val="00953AAD"/>
    <w:rsid w:val="00953C7F"/>
    <w:rsid w:val="00953D24"/>
    <w:rsid w:val="009541A8"/>
    <w:rsid w:val="00954249"/>
    <w:rsid w:val="009542C1"/>
    <w:rsid w:val="00954578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33E"/>
    <w:rsid w:val="0096245D"/>
    <w:rsid w:val="00962639"/>
    <w:rsid w:val="0096305F"/>
    <w:rsid w:val="0096314E"/>
    <w:rsid w:val="009637F0"/>
    <w:rsid w:val="00963FE5"/>
    <w:rsid w:val="0096419A"/>
    <w:rsid w:val="009641A9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0E03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08D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0BD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858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67A73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05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133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008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4F9C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9FF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6F2D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CC0"/>
    <w:rsid w:val="00B16F75"/>
    <w:rsid w:val="00B173DF"/>
    <w:rsid w:val="00B17698"/>
    <w:rsid w:val="00B17883"/>
    <w:rsid w:val="00B178D9"/>
    <w:rsid w:val="00B17DED"/>
    <w:rsid w:val="00B17E3D"/>
    <w:rsid w:val="00B20479"/>
    <w:rsid w:val="00B207DC"/>
    <w:rsid w:val="00B20BA4"/>
    <w:rsid w:val="00B21044"/>
    <w:rsid w:val="00B213FB"/>
    <w:rsid w:val="00B214B5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1FD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145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A81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28E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26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3C5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0F2"/>
    <w:rsid w:val="00BD71FB"/>
    <w:rsid w:val="00BD75FD"/>
    <w:rsid w:val="00BD77A6"/>
    <w:rsid w:val="00BE0B3D"/>
    <w:rsid w:val="00BE0F7A"/>
    <w:rsid w:val="00BE1023"/>
    <w:rsid w:val="00BE1201"/>
    <w:rsid w:val="00BE1289"/>
    <w:rsid w:val="00BE1EEA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0FB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421"/>
    <w:rsid w:val="00C63879"/>
    <w:rsid w:val="00C6395D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E14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0EED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196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BF5"/>
    <w:rsid w:val="00CA2C00"/>
    <w:rsid w:val="00CA2E00"/>
    <w:rsid w:val="00CA32DA"/>
    <w:rsid w:val="00CA398E"/>
    <w:rsid w:val="00CA3A22"/>
    <w:rsid w:val="00CA3C4E"/>
    <w:rsid w:val="00CA3E43"/>
    <w:rsid w:val="00CA417D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8DA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3EFD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0E8A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156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245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2F35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3719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0E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4E4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640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892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1A7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676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858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2FC5"/>
    <w:rsid w:val="00E8339B"/>
    <w:rsid w:val="00E834BE"/>
    <w:rsid w:val="00E83829"/>
    <w:rsid w:val="00E8387C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726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E4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680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35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3F97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20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6FE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7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3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0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2017-08-11T12:28:00Z</dcterms:created>
  <dcterms:modified xsi:type="dcterms:W3CDTF">2017-08-11T12:28:00Z</dcterms:modified>
</cp:coreProperties>
</file>